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5040"/>
        <w:gridCol w:w="755"/>
      </w:tblGrid>
      <w:tr>
        <w:tblPrEx>
          <w:tblLayout w:type="fixed"/>
        </w:tblPrEx>
        <w:trPr>
          <w:trHeight w:val="1558" w:hRule="atLeast"/>
        </w:trPr>
        <w:tc>
          <w:tcPr>
            <w:tcW w:w="8928" w:type="dxa"/>
            <w:gridSpan w:val="2"/>
            <w:noWrap w:val="0"/>
            <w:vAlign w:val="center"/>
          </w:tcPr>
          <w:p>
            <w:pPr>
              <w:adjustRightInd/>
              <w:jc w:val="right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80"/>
                <w:sz w:val="32"/>
                <w:szCs w:val="32"/>
              </w:rPr>
              <w:drawing>
                <wp:inline distT="0" distB="0" distL="114300" distR="114300">
                  <wp:extent cx="920115" cy="918210"/>
                  <wp:effectExtent l="0" t="0" r="9525" b="11430"/>
                  <wp:docPr id="2" name="图片 1" descr="GDX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GDXG 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  <w:noWrap w:val="0"/>
            <w:vAlign w:val="center"/>
          </w:tcPr>
          <w:p>
            <w:pPr>
              <w:adjustRightInd/>
              <w:jc w:val="right"/>
              <w:rPr>
                <w:rFonts w:hint="eastAsia" w:ascii="Arial" w:hAnsi="Arial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192" w:hRule="atLeast"/>
        </w:trPr>
        <w:tc>
          <w:tcPr>
            <w:tcW w:w="9683" w:type="dxa"/>
            <w:gridSpan w:val="3"/>
            <w:noWrap w:val="0"/>
            <w:vAlign w:val="center"/>
          </w:tcPr>
          <w:tbl>
            <w:tblPr>
              <w:tblStyle w:val="2"/>
              <w:tblW w:w="3959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59"/>
            </w:tblGrid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3959" w:type="dxa"/>
                  <w:noWrap w:val="0"/>
                  <w:vAlign w:val="center"/>
                </w:tcPr>
                <w:p>
                  <w:pPr>
                    <w:adjustRightInd/>
                    <w:rPr>
                      <w:rFonts w:hint="eastAsia" w:ascii="黑体" w:hAnsi="宋体" w:eastAsia="黑体" w:cs="Arial"/>
                      <w:b/>
                      <w:sz w:val="52"/>
                      <w:szCs w:val="52"/>
                    </w:rPr>
                  </w:pPr>
                  <w:r>
                    <w:rPr>
                      <w:rFonts w:hint="eastAsia" w:ascii="黑体" w:hAnsi="宋体" w:eastAsia="黑体" w:cs="Arial"/>
                      <w:b/>
                      <w:sz w:val="52"/>
                      <w:szCs w:val="52"/>
                    </w:rPr>
                    <w:t>产品技术规范书</w:t>
                  </w:r>
                </w:p>
              </w:tc>
            </w:tr>
          </w:tbl>
          <w:p>
            <w:pPr>
              <w:adjustRightInd/>
              <w:rPr>
                <w:rFonts w:hint="eastAsia" w:ascii="宋体" w:hAnsi="宋体" w:cs="Arial"/>
                <w:b/>
                <w:sz w:val="44"/>
                <w:szCs w:val="44"/>
              </w:rPr>
            </w:pPr>
          </w:p>
        </w:tc>
      </w:tr>
      <w:tr>
        <w:tblPrEx>
          <w:tblLayout w:type="fixed"/>
        </w:tblPrEx>
        <w:trPr>
          <w:trHeight w:val="7917" w:hRule="atLeast"/>
        </w:trPr>
        <w:tc>
          <w:tcPr>
            <w:tcW w:w="9683" w:type="dxa"/>
            <w:gridSpan w:val="3"/>
            <w:noWrap w:val="0"/>
            <w:vAlign w:val="center"/>
          </w:tcPr>
          <w:p>
            <w:pPr>
              <w:adjustRightInd/>
              <w:jc w:val="center"/>
              <w:rPr>
                <w:rFonts w:hint="eastAsia"/>
              </w:rPr>
            </w:pPr>
            <w:r>
              <w:drawing>
                <wp:inline distT="0" distB="0" distL="114300" distR="114300">
                  <wp:extent cx="4690745" cy="3274695"/>
                  <wp:effectExtent l="0" t="0" r="1460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45" cy="32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/>
              <w:jc w:val="center"/>
              <w:rPr>
                <w:rFonts w:hint="eastAsia"/>
              </w:rPr>
            </w:pPr>
          </w:p>
          <w:p>
            <w:pPr>
              <w:adjustRightInd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3888" w:type="dxa"/>
            <w:noWrap w:val="0"/>
            <w:vAlign w:val="center"/>
          </w:tcPr>
          <w:p>
            <w:pPr>
              <w:wordWrap w:val="0"/>
              <w:adjustRightInd/>
              <w:jc w:val="right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设备名称：</w:t>
            </w:r>
          </w:p>
        </w:tc>
        <w:tc>
          <w:tcPr>
            <w:tcW w:w="5795" w:type="dxa"/>
            <w:gridSpan w:val="2"/>
            <w:noWrap w:val="0"/>
            <w:vAlign w:val="center"/>
          </w:tcPr>
          <w:p>
            <w:pPr>
              <w:adjustRightInd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Arial Black" w:hAnsi="Arial Black" w:eastAsia="黑体" w:cs="Arial"/>
                <w:b/>
                <w:sz w:val="28"/>
                <w:szCs w:val="28"/>
                <w:lang w:val="en-US" w:eastAsia="zh-CN"/>
              </w:rPr>
              <w:t>SF6气体纯度仪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3888" w:type="dxa"/>
            <w:noWrap w:val="0"/>
            <w:vAlign w:val="center"/>
          </w:tcPr>
          <w:p>
            <w:pPr>
              <w:wordWrap w:val="0"/>
              <w:adjustRightInd/>
              <w:jc w:val="right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型    号：</w:t>
            </w:r>
          </w:p>
        </w:tc>
        <w:tc>
          <w:tcPr>
            <w:tcW w:w="5795" w:type="dxa"/>
            <w:gridSpan w:val="2"/>
            <w:noWrap w:val="0"/>
            <w:vAlign w:val="center"/>
          </w:tcPr>
          <w:p>
            <w:pPr>
              <w:adjustRightInd/>
              <w:ind w:right="1124"/>
              <w:rPr>
                <w:rFonts w:hint="default" w:ascii="Arial Black" w:hAnsi="Arial Black" w:eastAsia="黑体" w:cs="Arial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Arial Black" w:hAnsi="Arial Black" w:eastAsia="黑体" w:cs="Arial"/>
                <w:b/>
                <w:sz w:val="28"/>
                <w:szCs w:val="28"/>
              </w:rPr>
              <w:t>GD</w:t>
            </w:r>
            <w:r>
              <w:rPr>
                <w:rFonts w:hint="eastAsia" w:ascii="Arial Black" w:hAnsi="Arial Black" w:eastAsia="黑体" w:cs="Arial"/>
                <w:b/>
                <w:sz w:val="28"/>
                <w:szCs w:val="28"/>
                <w:lang w:val="en-US" w:eastAsia="zh-CN"/>
              </w:rPr>
              <w:t>P</w:t>
            </w:r>
            <w:r>
              <w:rPr>
                <w:rFonts w:hint="eastAsia" w:ascii="Arial Black" w:hAnsi="Arial Black" w:eastAsia="黑体" w:cs="Arial"/>
                <w:b/>
                <w:sz w:val="28"/>
                <w:szCs w:val="28"/>
              </w:rPr>
              <w:t>-311</w:t>
            </w:r>
            <w:r>
              <w:rPr>
                <w:rFonts w:hint="eastAsia" w:ascii="Arial Black" w:hAnsi="Arial Black" w:eastAsia="黑体" w:cs="Arial"/>
                <w:b/>
                <w:sz w:val="28"/>
                <w:szCs w:val="28"/>
                <w:lang w:val="en-US" w:eastAsia="zh-CN"/>
              </w:rPr>
              <w:t xml:space="preserve"> IR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3888" w:type="dxa"/>
            <w:noWrap w:val="0"/>
            <w:vAlign w:val="center"/>
          </w:tcPr>
          <w:p>
            <w:pPr>
              <w:adjustRightInd/>
              <w:jc w:val="right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生产厂家：</w:t>
            </w:r>
          </w:p>
        </w:tc>
        <w:tc>
          <w:tcPr>
            <w:tcW w:w="5795" w:type="dxa"/>
            <w:gridSpan w:val="2"/>
            <w:noWrap w:val="0"/>
            <w:vAlign w:val="center"/>
          </w:tcPr>
          <w:p>
            <w:pPr>
              <w:adjustRightInd/>
              <w:rPr>
                <w:rFonts w:hint="eastAsia" w:ascii="黑体" w:hAnsi="Arial" w:eastAsia="黑体" w:cs="Arial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武汉国电西高电气有限公司</w:t>
            </w: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3888" w:type="dxa"/>
            <w:noWrap w:val="0"/>
            <w:vAlign w:val="center"/>
          </w:tcPr>
          <w:p>
            <w:pPr>
              <w:adjustRightInd/>
              <w:jc w:val="right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b/>
                <w:color w:val="000000"/>
                <w:sz w:val="28"/>
                <w:szCs w:val="28"/>
              </w:rPr>
              <w:t>产品编码：</w:t>
            </w:r>
          </w:p>
        </w:tc>
        <w:tc>
          <w:tcPr>
            <w:tcW w:w="5795" w:type="dxa"/>
            <w:gridSpan w:val="2"/>
            <w:noWrap w:val="0"/>
            <w:vAlign w:val="center"/>
          </w:tcPr>
          <w:p>
            <w:pPr>
              <w:adjustRightInd/>
              <w:rPr>
                <w:rFonts w:hint="eastAsia" w:ascii="黑体" w:hAnsi="Arial" w:eastAsia="黑体" w:cs="Arial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3888" w:type="dxa"/>
            <w:noWrap w:val="0"/>
            <w:vAlign w:val="center"/>
          </w:tcPr>
          <w:p>
            <w:pPr>
              <w:wordWrap w:val="0"/>
              <w:adjustRightInd/>
              <w:jc w:val="right"/>
              <w:rPr>
                <w:rFonts w:hint="eastAsia" w:ascii="黑体" w:hAnsi="Arial" w:eastAsia="黑体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b/>
                <w:color w:val="000000"/>
                <w:sz w:val="28"/>
                <w:szCs w:val="28"/>
              </w:rPr>
              <w:t>品    牌：</w:t>
            </w:r>
          </w:p>
        </w:tc>
        <w:tc>
          <w:tcPr>
            <w:tcW w:w="5795" w:type="dxa"/>
            <w:gridSpan w:val="2"/>
            <w:noWrap w:val="0"/>
            <w:vAlign w:val="center"/>
          </w:tcPr>
          <w:p>
            <w:pPr>
              <w:adjustRightInd/>
              <w:rPr>
                <w:rFonts w:hint="eastAsia" w:ascii="黑体" w:hAnsi="Arial" w:eastAsia="黑体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b/>
                <w:color w:val="000000"/>
                <w:sz w:val="28"/>
                <w:szCs w:val="28"/>
              </w:rPr>
              <w:t>国电西高</w:t>
            </w: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9683" w:type="dxa"/>
            <w:gridSpan w:val="3"/>
            <w:noWrap w:val="0"/>
            <w:vAlign w:val="center"/>
          </w:tcPr>
          <w:p>
            <w:pPr>
              <w:adjustRightInd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adjustRightInd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一、应用</w:t>
            </w: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背景及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应用范围</w:t>
            </w: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9683" w:type="dxa"/>
            <w:gridSpan w:val="3"/>
            <w:noWrap w:val="0"/>
            <w:vAlign w:val="center"/>
          </w:tcPr>
          <w:p>
            <w:pPr>
              <w:pStyle w:val="4"/>
              <w:ind w:firstLine="482"/>
              <w:rPr>
                <w:rFonts w:cs="Arial"/>
                <w:b/>
                <w:color w:val="000000"/>
                <w:sz w:val="24"/>
              </w:rPr>
            </w:pPr>
            <w:r>
              <w:rPr>
                <w:rFonts w:hint="eastAsia" w:cs="Arial"/>
                <w:b/>
                <w:color w:val="000000"/>
                <w:sz w:val="24"/>
              </w:rPr>
              <w:t>应用</w:t>
            </w:r>
            <w:r>
              <w:rPr>
                <w:rFonts w:cs="Arial"/>
                <w:b/>
                <w:color w:val="000000"/>
                <w:sz w:val="24"/>
              </w:rPr>
              <w:t>背景：</w:t>
            </w:r>
          </w:p>
          <w:p>
            <w:pPr>
              <w:pStyle w:val="4"/>
              <w:ind w:firstLine="480"/>
              <w:rPr>
                <w:rFonts w:hint="eastAsia" w:cs="Arial"/>
                <w:bCs/>
                <w:color w:val="000000"/>
                <w:sz w:val="24"/>
              </w:rPr>
            </w:pP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GDP-311IR</w:t>
            </w:r>
            <w:r>
              <w:rPr>
                <w:rFonts w:hint="eastAsia" w:cs="Arial"/>
                <w:bCs/>
                <w:color w:val="000000"/>
                <w:sz w:val="24"/>
              </w:rPr>
              <w:t>型SF6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气体纯度仪</w:t>
            </w:r>
            <w:r>
              <w:rPr>
                <w:rFonts w:hint="eastAsia" w:cs="Arial"/>
                <w:bCs/>
                <w:color w:val="000000"/>
                <w:sz w:val="24"/>
              </w:rPr>
              <w:t>是我公司研制用于现场测试SF6气体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纯度</w:t>
            </w:r>
            <w:r>
              <w:rPr>
                <w:rFonts w:hint="eastAsia" w:cs="Arial"/>
                <w:bCs/>
                <w:color w:val="000000"/>
                <w:sz w:val="24"/>
              </w:rPr>
              <w:t>的便携式仪表。其核心器件采用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欧洲传感器公司生产的红外原理SF6气体纯度测试传感器用于测试SF6气体的纯度，</w:t>
            </w:r>
            <w:r>
              <w:rPr>
                <w:rFonts w:hint="eastAsia" w:cs="Arial"/>
                <w:bCs/>
                <w:color w:val="000000"/>
                <w:sz w:val="24"/>
              </w:rPr>
              <w:t>配合意法半导体专业硬件芯片及优秀的软件算法，诞生了我公司全新一代的气体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纯度</w:t>
            </w:r>
            <w:r>
              <w:rPr>
                <w:rFonts w:hint="eastAsia" w:cs="Arial"/>
                <w:bCs/>
                <w:color w:val="000000"/>
                <w:sz w:val="24"/>
              </w:rPr>
              <w:t>测试仪。</w:t>
            </w:r>
          </w:p>
          <w:p>
            <w:pPr>
              <w:pStyle w:val="4"/>
              <w:ind w:firstLine="480"/>
              <w:rPr>
                <w:rFonts w:hint="eastAsia" w:cs="Arial"/>
                <w:bCs/>
                <w:color w:val="000000"/>
                <w:sz w:val="24"/>
              </w:rPr>
            </w:pP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GDP-311IR</w:t>
            </w:r>
            <w:r>
              <w:rPr>
                <w:rFonts w:hint="eastAsia" w:cs="Arial"/>
                <w:bCs/>
                <w:color w:val="000000"/>
                <w:sz w:val="24"/>
              </w:rPr>
              <w:t>型SF6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纯度仪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为用户提供合理，高效的SF6气体分析手段。</w:t>
            </w:r>
            <w:r>
              <w:rPr>
                <w:rFonts w:hint="eastAsia" w:cs="Arial"/>
                <w:bCs/>
                <w:color w:val="000000"/>
                <w:sz w:val="24"/>
              </w:rPr>
              <w:t>仪器设计美观合理，仪表材质优良。整体设计为组合方案。运输和携带方案可兼容我公司全系列SF6气体分析设备。本产品适合任何自然环境现场使用。</w:t>
            </w:r>
          </w:p>
          <w:p>
            <w:pPr>
              <w:pStyle w:val="4"/>
              <w:ind w:firstLine="482"/>
              <w:rPr>
                <w:rFonts w:cs="Arial"/>
                <w:b/>
                <w:color w:val="000000"/>
                <w:sz w:val="24"/>
              </w:rPr>
            </w:pPr>
            <w:r>
              <w:rPr>
                <w:rFonts w:hint="eastAsia" w:cs="Arial"/>
                <w:b/>
                <w:color w:val="000000"/>
                <w:sz w:val="24"/>
              </w:rPr>
              <w:t>应用</w:t>
            </w:r>
            <w:r>
              <w:rPr>
                <w:rFonts w:cs="Arial"/>
                <w:b/>
                <w:color w:val="000000"/>
                <w:sz w:val="24"/>
              </w:rPr>
              <w:t>范围：</w:t>
            </w:r>
          </w:p>
          <w:p>
            <w:pPr>
              <w:pStyle w:val="4"/>
              <w:ind w:firstLine="480"/>
              <w:rPr>
                <w:rFonts w:hint="default" w:eastAsia="宋体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cs="Arial"/>
                <w:color w:val="000000"/>
                <w:sz w:val="24"/>
              </w:rPr>
              <w:t>电力用SF6气体电气设备的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纯度分析</w:t>
            </w:r>
          </w:p>
          <w:p>
            <w:pPr>
              <w:pStyle w:val="4"/>
              <w:ind w:firstLine="480"/>
              <w:rPr>
                <w:rFonts w:hint="eastAsia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</w:rPr>
              <w:t>SF6气体钢瓶气质量检测</w:t>
            </w:r>
          </w:p>
          <w:p>
            <w:pPr>
              <w:pStyle w:val="4"/>
              <w:ind w:firstLine="480"/>
              <w:rPr>
                <w:rFonts w:hint="default" w:eastAsia="宋体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回收再利用SF6气体质量检测</w:t>
            </w:r>
          </w:p>
          <w:p>
            <w:pPr>
              <w:pStyle w:val="4"/>
              <w:ind w:firstLine="480"/>
              <w:rPr>
                <w:rFonts w:hint="eastAsia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</w:rPr>
              <w:t>高纯气体制造</w:t>
            </w:r>
          </w:p>
          <w:p>
            <w:pPr>
              <w:pStyle w:val="4"/>
              <w:ind w:firstLine="480"/>
              <w:rPr>
                <w:rFonts w:hint="eastAsia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</w:rPr>
              <w:t>半导体工业干气供应</w:t>
            </w:r>
          </w:p>
          <w:p>
            <w:pPr>
              <w:pStyle w:val="4"/>
              <w:ind w:firstLine="480"/>
              <w:rPr>
                <w:rFonts w:hint="eastAsia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</w:rPr>
              <w:t>研发用途</w:t>
            </w:r>
          </w:p>
          <w:p>
            <w:pPr>
              <w:pStyle w:val="4"/>
              <w:ind w:firstLine="480"/>
              <w:rPr>
                <w:rFonts w:hint="eastAsia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</w:rPr>
              <w:t>洁净室/干房监控</w:t>
            </w:r>
          </w:p>
          <w:p>
            <w:pPr>
              <w:pStyle w:val="4"/>
              <w:ind w:firstLine="480"/>
              <w:rPr>
                <w:rFonts w:hint="eastAsia" w:cs="Arial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9683" w:type="dxa"/>
            <w:gridSpan w:val="3"/>
            <w:noWrap w:val="0"/>
            <w:vAlign w:val="center"/>
          </w:tcPr>
          <w:p>
            <w:pPr>
              <w:adjustRightInd/>
              <w:rPr>
                <w:rFonts w:hint="eastAsia" w:ascii="Arial" w:hAnsi="Arial"/>
                <w:b/>
                <w:bCs/>
                <w:sz w:val="24"/>
                <w:szCs w:val="24"/>
              </w:rPr>
            </w:pPr>
          </w:p>
          <w:p>
            <w:pPr>
              <w:adjustRightInd/>
              <w:rPr>
                <w:rFonts w:hint="eastAsia" w:ascii="Arial" w:hAnsi="Arial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/>
                <w:b/>
                <w:bCs/>
                <w:sz w:val="24"/>
                <w:szCs w:val="24"/>
              </w:rPr>
              <w:t>二、技术特点</w:t>
            </w: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9683" w:type="dxa"/>
            <w:gridSpan w:val="3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全进口高精度传感器，带自校验功能，确保纯度的检测数据全年稳定可靠。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全通道高分子材料设计</w:t>
            </w:r>
            <w:r>
              <w:rPr>
                <w:rFonts w:hint="eastAsia" w:cs="Arial"/>
                <w:sz w:val="24"/>
                <w:lang w:eastAsia="zh-CN"/>
              </w:rPr>
              <w:t>，</w:t>
            </w:r>
            <w:r>
              <w:rPr>
                <w:rFonts w:hint="eastAsia" w:cs="Arial"/>
                <w:sz w:val="24"/>
                <w:lang w:val="en-US" w:eastAsia="zh-CN"/>
              </w:rPr>
              <w:t>器件采用乐可利、康茂盛、世伟洛克产品</w:t>
            </w:r>
            <w:r>
              <w:rPr>
                <w:rFonts w:hint="eastAsia" w:cs="Arial"/>
                <w:sz w:val="24"/>
              </w:rPr>
              <w:t>，保证无挂壁现象，保证测试速度。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采用无油不锈钢体调节阀，确保检测数值的精确度。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先进</w:t>
            </w:r>
            <w:r>
              <w:rPr>
                <w:rFonts w:cs="Arial"/>
                <w:sz w:val="24"/>
              </w:rPr>
              <w:t>的软件算法，</w:t>
            </w:r>
            <w:r>
              <w:rPr>
                <w:rFonts w:hint="eastAsia" w:cs="Arial"/>
                <w:sz w:val="24"/>
              </w:rPr>
              <w:t>提升了进口传感器的测试精度。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组合式机箱配置方案，用户可轻松组合相关仪器和附件。实现整体打包携带，使用户拥有更加轻松的使用体验。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开机即可</w:t>
            </w:r>
            <w:r>
              <w:rPr>
                <w:rFonts w:cs="Arial"/>
                <w:sz w:val="24"/>
              </w:rPr>
              <w:t>进行检测，无需震荡过程。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温度折</w:t>
            </w:r>
            <w:r>
              <w:rPr>
                <w:rFonts w:cs="Arial"/>
                <w:sz w:val="24"/>
              </w:rPr>
              <w:t>算与压力</w:t>
            </w:r>
            <w:r>
              <w:rPr>
                <w:rFonts w:hint="eastAsia" w:cs="Arial"/>
                <w:sz w:val="24"/>
              </w:rPr>
              <w:t>数据</w:t>
            </w:r>
            <w:r>
              <w:rPr>
                <w:rFonts w:cs="Arial"/>
                <w:sz w:val="24"/>
              </w:rPr>
              <w:t>矫正。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模糊计算</w:t>
            </w:r>
            <w:r>
              <w:rPr>
                <w:rFonts w:cs="Arial"/>
                <w:sz w:val="24"/>
              </w:rPr>
              <w:t>技术。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大功率锂电</w:t>
            </w:r>
            <w:r>
              <w:rPr>
                <w:rFonts w:cs="Arial"/>
                <w:sz w:val="24"/>
              </w:rPr>
              <w:t>电源系统，</w:t>
            </w:r>
            <w:r>
              <w:rPr>
                <w:rFonts w:hint="eastAsia" w:cs="Arial"/>
                <w:sz w:val="24"/>
              </w:rPr>
              <w:t>可实现交直流双重</w:t>
            </w:r>
            <w:r>
              <w:rPr>
                <w:rFonts w:cs="Arial"/>
                <w:sz w:val="24"/>
              </w:rPr>
              <w:t>供电。无需</w:t>
            </w:r>
            <w:r>
              <w:rPr>
                <w:rFonts w:hint="eastAsia" w:cs="Arial"/>
                <w:sz w:val="24"/>
              </w:rPr>
              <w:t>现场</w:t>
            </w:r>
            <w:r>
              <w:rPr>
                <w:rFonts w:cs="Arial"/>
                <w:sz w:val="24"/>
              </w:rPr>
              <w:t>交流电源。</w:t>
            </w:r>
            <w:r>
              <w:rPr>
                <w:rFonts w:hint="eastAsia" w:cs="Arial"/>
                <w:sz w:val="24"/>
              </w:rPr>
              <w:t>锂电</w:t>
            </w:r>
            <w:r>
              <w:rPr>
                <w:rFonts w:cs="Arial"/>
                <w:sz w:val="24"/>
              </w:rPr>
              <w:t>池供电</w:t>
            </w:r>
            <w:r>
              <w:rPr>
                <w:rFonts w:hint="eastAsia" w:cs="Arial"/>
                <w:sz w:val="24"/>
              </w:rPr>
              <w:t>在</w:t>
            </w:r>
            <w:r>
              <w:rPr>
                <w:rFonts w:cs="Arial"/>
                <w:sz w:val="24"/>
              </w:rPr>
              <w:t>无需外接电源的情况下持续工作</w:t>
            </w:r>
            <w:r>
              <w:rPr>
                <w:rFonts w:hint="eastAsia" w:cs="Arial"/>
                <w:sz w:val="24"/>
              </w:rPr>
              <w:t>8小时</w:t>
            </w:r>
            <w:r>
              <w:rPr>
                <w:rFonts w:cs="Arial"/>
                <w:sz w:val="24"/>
              </w:rPr>
              <w:t>以上。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防</w:t>
            </w:r>
            <w:r>
              <w:rPr>
                <w:rFonts w:cs="Arial"/>
                <w:sz w:val="24"/>
              </w:rPr>
              <w:t>电磁干扰电路设计，保证</w:t>
            </w:r>
            <w:r>
              <w:rPr>
                <w:rFonts w:hint="eastAsia" w:cs="Arial"/>
                <w:sz w:val="24"/>
              </w:rPr>
              <w:t>产品</w:t>
            </w:r>
            <w:r>
              <w:rPr>
                <w:rFonts w:cs="Arial"/>
                <w:sz w:val="24"/>
              </w:rPr>
              <w:t>的</w:t>
            </w:r>
            <w:r>
              <w:rPr>
                <w:rFonts w:hint="eastAsia" w:cs="Arial"/>
                <w:sz w:val="24"/>
              </w:rPr>
              <w:t>可靠性</w:t>
            </w:r>
            <w:r>
              <w:rPr>
                <w:rFonts w:cs="Arial"/>
                <w:sz w:val="24"/>
              </w:rPr>
              <w:t>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可拓展USB通信、</w:t>
            </w:r>
            <w:r>
              <w:rPr>
                <w:rFonts w:cs="Arial"/>
                <w:sz w:val="24"/>
              </w:rPr>
              <w:t>串口通信</w:t>
            </w:r>
            <w:r>
              <w:rPr>
                <w:rFonts w:hint="eastAsia" w:cs="Arial"/>
                <w:sz w:val="24"/>
              </w:rPr>
              <w:t>、</w:t>
            </w:r>
            <w:r>
              <w:rPr>
                <w:rFonts w:cs="Arial"/>
                <w:sz w:val="24"/>
              </w:rPr>
              <w:t>无线通信模块，</w:t>
            </w:r>
            <w:r>
              <w:rPr>
                <w:rFonts w:hint="eastAsia" w:cs="Arial"/>
                <w:sz w:val="24"/>
              </w:rPr>
              <w:t>可</w:t>
            </w:r>
            <w:r>
              <w:rPr>
                <w:rFonts w:cs="Arial"/>
                <w:sz w:val="24"/>
              </w:rPr>
              <w:t>实现上位机通信及打印功能。</w:t>
            </w:r>
            <w:r>
              <w:rPr>
                <w:rFonts w:hint="eastAsia" w:cs="Arial"/>
                <w:sz w:val="24"/>
                <w:lang w:eastAsia="zh-CN"/>
              </w:rPr>
              <w:t>（</w:t>
            </w:r>
            <w:r>
              <w:rPr>
                <w:rFonts w:hint="eastAsia" w:cs="Arial"/>
                <w:sz w:val="24"/>
                <w:lang w:val="en-US" w:eastAsia="zh-CN"/>
              </w:rPr>
              <w:t>选配</w:t>
            </w:r>
            <w:r>
              <w:rPr>
                <w:rFonts w:hint="eastAsia" w:cs="Arial"/>
                <w:sz w:val="24"/>
                <w:lang w:eastAsia="zh-CN"/>
              </w:rPr>
              <w:t>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大容量</w:t>
            </w:r>
            <w:r>
              <w:rPr>
                <w:rFonts w:cs="Arial"/>
                <w:sz w:val="24"/>
              </w:rPr>
              <w:t>存储器，可实现</w:t>
            </w:r>
            <w:r>
              <w:rPr>
                <w:rFonts w:hint="eastAsia" w:cs="Arial"/>
                <w:sz w:val="24"/>
              </w:rPr>
              <w:t>1000组</w:t>
            </w:r>
            <w:r>
              <w:rPr>
                <w:rFonts w:cs="Arial"/>
                <w:sz w:val="24"/>
              </w:rPr>
              <w:t>数据的存储功能。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气路</w:t>
            </w:r>
            <w:r>
              <w:rPr>
                <w:rFonts w:cs="Arial"/>
                <w:sz w:val="24"/>
              </w:rPr>
              <w:t>预处理功能，可在现场测试工作前</w:t>
            </w:r>
            <w:r>
              <w:rPr>
                <w:rFonts w:hint="eastAsia" w:cs="Arial"/>
                <w:sz w:val="24"/>
              </w:rPr>
              <w:t>进行</w:t>
            </w:r>
            <w:r>
              <w:rPr>
                <w:rFonts w:cs="Arial"/>
                <w:sz w:val="24"/>
              </w:rPr>
              <w:t>测试管路净化，</w:t>
            </w:r>
            <w:r>
              <w:rPr>
                <w:rFonts w:hint="eastAsia" w:cs="Arial"/>
                <w:sz w:val="24"/>
              </w:rPr>
              <w:t>缩短</w:t>
            </w:r>
            <w:r>
              <w:rPr>
                <w:rFonts w:cs="Arial"/>
                <w:sz w:val="24"/>
              </w:rPr>
              <w:t>了测试时间。</w:t>
            </w:r>
            <w:r>
              <w:rPr>
                <w:rFonts w:hint="eastAsia" w:cs="Arial"/>
                <w:sz w:val="24"/>
              </w:rPr>
              <w:t>（选配）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仪器</w:t>
            </w:r>
            <w:r>
              <w:rPr>
                <w:rFonts w:cs="Arial"/>
                <w:sz w:val="24"/>
              </w:rPr>
              <w:t>带有</w:t>
            </w:r>
            <w:r>
              <w:rPr>
                <w:rFonts w:hint="eastAsia" w:cs="Arial"/>
                <w:sz w:val="24"/>
              </w:rPr>
              <w:t>测试</w:t>
            </w:r>
            <w:r>
              <w:rPr>
                <w:rFonts w:cs="Arial"/>
                <w:sz w:val="24"/>
              </w:rPr>
              <w:t>气体回收功能，可将六氟化硫测量气体进行回收</w:t>
            </w:r>
            <w:r>
              <w:rPr>
                <w:rFonts w:hint="eastAsia" w:cs="Arial"/>
                <w:sz w:val="24"/>
              </w:rPr>
              <w:t>。</w:t>
            </w:r>
            <w:r>
              <w:rPr>
                <w:rFonts w:cs="Arial"/>
                <w:sz w:val="24"/>
              </w:rPr>
              <w:t>保护</w:t>
            </w:r>
            <w:r>
              <w:rPr>
                <w:rFonts w:hint="eastAsia" w:cs="Arial"/>
                <w:sz w:val="24"/>
              </w:rPr>
              <w:t>自然</w:t>
            </w:r>
            <w:r>
              <w:rPr>
                <w:rFonts w:cs="Arial"/>
                <w:sz w:val="24"/>
              </w:rPr>
              <w:t>环境。</w:t>
            </w:r>
            <w:r>
              <w:rPr>
                <w:rFonts w:hint="eastAsia" w:cs="Arial"/>
                <w:sz w:val="24"/>
                <w:lang w:eastAsia="zh-CN"/>
              </w:rPr>
              <w:t>（</w:t>
            </w:r>
            <w:r>
              <w:rPr>
                <w:rFonts w:hint="eastAsia" w:cs="Arial"/>
                <w:sz w:val="24"/>
                <w:lang w:val="en-US" w:eastAsia="zh-CN"/>
              </w:rPr>
              <w:t>选配</w:t>
            </w:r>
            <w:r>
              <w:rPr>
                <w:rFonts w:hint="eastAsia" w:cs="Arial"/>
                <w:sz w:val="24"/>
                <w:lang w:eastAsia="zh-CN"/>
              </w:rPr>
              <w:t>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测试</w:t>
            </w:r>
            <w:r>
              <w:rPr>
                <w:rFonts w:cs="Arial"/>
                <w:sz w:val="24"/>
              </w:rPr>
              <w:t>数据稳定。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纯度测量为全量程0.5%测量精度，可以应用于高浓度SF6气体测量，也可用于70%含量SF6气体测量。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最佳</w:t>
            </w:r>
            <w:r>
              <w:rPr>
                <w:rFonts w:cs="Arial"/>
                <w:sz w:val="24"/>
              </w:rPr>
              <w:t>测试流量区域显示，</w:t>
            </w:r>
            <w:r>
              <w:rPr>
                <w:rFonts w:hint="eastAsia" w:cs="Arial"/>
                <w:sz w:val="24"/>
              </w:rPr>
              <w:t>使用者</w:t>
            </w:r>
            <w:r>
              <w:rPr>
                <w:rFonts w:cs="Arial"/>
                <w:sz w:val="24"/>
              </w:rPr>
              <w:t>可以直观</w:t>
            </w:r>
            <w:r>
              <w:rPr>
                <w:rFonts w:hint="eastAsia" w:cs="Arial"/>
                <w:sz w:val="24"/>
              </w:rPr>
              <w:t>快速</w:t>
            </w:r>
            <w:r>
              <w:rPr>
                <w:rFonts w:cs="Arial"/>
                <w:sz w:val="24"/>
              </w:rPr>
              <w:t>的调整气体流量</w:t>
            </w:r>
            <w:r>
              <w:rPr>
                <w:rFonts w:hint="eastAsia" w:cs="Arial"/>
                <w:sz w:val="24"/>
              </w:rPr>
              <w:t>。</w:t>
            </w:r>
            <w:r>
              <w:rPr>
                <w:rFonts w:cs="Arial"/>
                <w:sz w:val="24"/>
              </w:rPr>
              <w:t>缩短</w:t>
            </w:r>
            <w:r>
              <w:rPr>
                <w:rFonts w:hint="eastAsia" w:cs="Arial"/>
                <w:sz w:val="24"/>
              </w:rPr>
              <w:t>测试</w:t>
            </w:r>
            <w:r>
              <w:rPr>
                <w:rFonts w:cs="Arial"/>
                <w:sz w:val="24"/>
              </w:rPr>
              <w:t>时间</w:t>
            </w:r>
            <w:r>
              <w:rPr>
                <w:rFonts w:hint="eastAsia" w:cs="Arial"/>
                <w:sz w:val="24"/>
              </w:rPr>
              <w:t>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进气口采用</w:t>
            </w:r>
            <w:r>
              <w:rPr>
                <w:rFonts w:cs="Arial"/>
                <w:sz w:val="24"/>
              </w:rPr>
              <w:t>微型自封接头设计，断开气路时</w:t>
            </w:r>
            <w:r>
              <w:rPr>
                <w:rFonts w:hint="eastAsia" w:cs="Arial"/>
                <w:sz w:val="24"/>
              </w:rPr>
              <w:t>被测</w:t>
            </w:r>
            <w:r>
              <w:rPr>
                <w:rFonts w:cs="Arial"/>
                <w:sz w:val="24"/>
              </w:rPr>
              <w:t>气路不会发生泄漏。</w:t>
            </w:r>
          </w:p>
          <w:p>
            <w:pPr>
              <w:pStyle w:val="4"/>
              <w:ind w:firstLine="0" w:firstLineChars="0"/>
              <w:rPr>
                <w:rFonts w:hint="eastAsia" w:cs="Arial"/>
                <w:sz w:val="24"/>
              </w:rPr>
            </w:pPr>
          </w:p>
        </w:tc>
      </w:tr>
      <w:tr>
        <w:tblPrEx>
          <w:tblLayout w:type="fixed"/>
        </w:tblPrEx>
        <w:trPr>
          <w:trHeight w:val="622" w:hRule="atLeast"/>
        </w:trPr>
        <w:tc>
          <w:tcPr>
            <w:tcW w:w="9683" w:type="dxa"/>
            <w:gridSpan w:val="3"/>
            <w:noWrap w:val="0"/>
            <w:vAlign w:val="center"/>
          </w:tcPr>
          <w:p>
            <w:pPr>
              <w:adjustRightInd/>
              <w:rPr>
                <w:rFonts w:hint="eastAsia" w:ascii="Arial" w:hAnsi="Arial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/>
                <w:b/>
                <w:bCs/>
                <w:sz w:val="24"/>
                <w:szCs w:val="24"/>
              </w:rPr>
              <w:t>技术指标</w:t>
            </w:r>
          </w:p>
        </w:tc>
      </w:tr>
      <w:tr>
        <w:tblPrEx>
          <w:tblLayout w:type="fixed"/>
        </w:tblPrEx>
        <w:trPr>
          <w:trHeight w:val="622" w:hRule="atLeast"/>
        </w:trPr>
        <w:tc>
          <w:tcPr>
            <w:tcW w:w="9683" w:type="dxa"/>
            <w:gridSpan w:val="3"/>
            <w:noWrap w:val="0"/>
            <w:vAlign w:val="center"/>
          </w:tcPr>
          <w:p>
            <w:pPr>
              <w:adjustRightInd/>
              <w:spacing w:line="360" w:lineRule="auto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b/>
                <w:bCs/>
                <w:sz w:val="24"/>
                <w:szCs w:val="24"/>
                <w:lang w:val="en-US" w:eastAsia="zh-CN"/>
              </w:rPr>
              <w:t>纯度检测部分：</w:t>
            </w:r>
            <w:r>
              <w:rPr>
                <w:rFonts w:hint="eastAsia" w:ascii="Arial" w:hAnsi="Arial"/>
                <w:sz w:val="24"/>
                <w:szCs w:val="24"/>
              </w:rPr>
              <w:t xml:space="preserve"> </w:t>
            </w:r>
          </w:p>
          <w:p>
            <w:pPr>
              <w:adjustRightInd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 xml:space="preserve">测 量 方 式： 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红外</w:t>
            </w:r>
            <w:r>
              <w:rPr>
                <w:rFonts w:hint="eastAsia" w:ascii="Arial" w:hAnsi="Arial"/>
                <w:sz w:val="24"/>
                <w:szCs w:val="24"/>
              </w:rPr>
              <w:t>测量原理 （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欧洲传感器公司NDIR</w:t>
            </w:r>
            <w:r>
              <w:rPr>
                <w:rFonts w:hint="eastAsia" w:ascii="Arial" w:hAnsi="Arial"/>
                <w:sz w:val="24"/>
                <w:szCs w:val="24"/>
              </w:rPr>
              <w:t>系列传感器）</w:t>
            </w:r>
          </w:p>
          <w:p>
            <w:pPr>
              <w:adjustRightInd/>
              <w:spacing w:line="360" w:lineRule="auto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使用</w:t>
            </w:r>
            <w:r>
              <w:rPr>
                <w:rFonts w:ascii="Arial" w:hAnsi="Arial"/>
                <w:sz w:val="24"/>
                <w:szCs w:val="24"/>
              </w:rPr>
              <w:t>环境温度：</w:t>
            </w:r>
            <w:r>
              <w:rPr>
                <w:rFonts w:hint="eastAsia" w:ascii="Arial" w:hAnsi="Arial"/>
                <w:sz w:val="24"/>
                <w:szCs w:val="24"/>
              </w:rPr>
              <w:t xml:space="preserve">-20℃ ~ </w:t>
            </w:r>
            <w:r>
              <w:rPr>
                <w:rFonts w:ascii="Arial" w:hAnsi="Arial"/>
                <w:sz w:val="24"/>
                <w:szCs w:val="24"/>
              </w:rPr>
              <w:t>+</w:t>
            </w:r>
            <w:r>
              <w:rPr>
                <w:rFonts w:hint="eastAsia" w:ascii="Arial" w:hAnsi="Arial"/>
                <w:sz w:val="24"/>
                <w:szCs w:val="24"/>
              </w:rPr>
              <w:t>60℃</w:t>
            </w:r>
          </w:p>
          <w:p>
            <w:pPr>
              <w:adjustRightInd/>
              <w:spacing w:line="360" w:lineRule="auto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 xml:space="preserve">测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/>
                <w:sz w:val="24"/>
                <w:szCs w:val="24"/>
              </w:rPr>
              <w:t xml:space="preserve">量 范 围： 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0~100%</w:t>
            </w:r>
            <w:r>
              <w:rPr>
                <w:rFonts w:hint="eastAsia" w:ascii="Arial" w:hAnsi="Arial"/>
                <w:sz w:val="24"/>
                <w:szCs w:val="24"/>
              </w:rPr>
              <w:t xml:space="preserve"> </w:t>
            </w:r>
          </w:p>
          <w:p>
            <w:pPr>
              <w:adjustRightInd/>
              <w:spacing w:line="360" w:lineRule="auto"/>
              <w:ind w:left="1815" w:leftChars="750" w:hanging="240" w:hangingChars="100"/>
              <w:rPr>
                <w:rFonts w:hint="default" w:ascii="Arial" w:hAnsi="Arial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响应时间[90％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] 60s</w:t>
            </w:r>
          </w:p>
          <w:p>
            <w:pPr>
              <w:adjustRightInd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测 量 误 差： 优于±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0.5%FS</w:t>
            </w:r>
            <w:r>
              <w:rPr>
                <w:rFonts w:hint="eastAsia" w:ascii="Arial" w:hAnsi="Arial"/>
                <w:sz w:val="24"/>
                <w:szCs w:val="24"/>
              </w:rPr>
              <w:t xml:space="preserve"> </w:t>
            </w:r>
          </w:p>
          <w:p>
            <w:pPr>
              <w:adjustRightInd/>
              <w:spacing w:line="360" w:lineRule="auto"/>
              <w:ind w:firstLine="120" w:firstLineChars="50"/>
              <w:rPr>
                <w:rFonts w:hint="eastAsia" w:ascii="微软雅黑" w:hAnsi="微软雅黑" w:eastAsia="宋体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sz w:val="24"/>
                <w:szCs w:val="24"/>
              </w:rPr>
              <w:t xml:space="preserve">重复性误差： </w:t>
            </w:r>
            <w:r>
              <w:rPr>
                <w:rFonts w:ascii="Arial" w:hAnsi="Arial"/>
                <w:sz w:val="24"/>
                <w:szCs w:val="24"/>
              </w:rPr>
              <w:t>±0.5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%</w:t>
            </w:r>
          </w:p>
          <w:p>
            <w:pPr>
              <w:adjustRightInd/>
              <w:spacing w:line="360" w:lineRule="auto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分  辨  率 ： 0.01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Arial" w:hAnsi="Arial"/>
                <w:sz w:val="24"/>
                <w:szCs w:val="24"/>
              </w:rPr>
              <w:t xml:space="preserve"> </w:t>
            </w:r>
          </w:p>
          <w:p>
            <w:pPr>
              <w:adjustRightInd/>
              <w:spacing w:line="360" w:lineRule="auto"/>
              <w:rPr>
                <w:rFonts w:hint="default" w:ascii="Arial" w:hAnsi="Arial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sz w:val="24"/>
                <w:szCs w:val="24"/>
              </w:rPr>
              <w:t xml:space="preserve">显 示 单 位： 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%</w:t>
            </w:r>
          </w:p>
          <w:p>
            <w:pPr>
              <w:adjustRightInd/>
              <w:spacing w:line="360" w:lineRule="auto"/>
              <w:rPr>
                <w:rFonts w:hint="eastAsia" w:ascii="Arial" w:hAnsi="Arial"/>
                <w:sz w:val="24"/>
                <w:szCs w:val="24"/>
              </w:rPr>
            </w:pPr>
          </w:p>
          <w:p>
            <w:pPr>
              <w:adjustRightInd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 xml:space="preserve">气 体 流 量： </w:t>
            </w:r>
            <w:r>
              <w:rPr>
                <w:rFonts w:ascii="Arial" w:hAnsi="Arial"/>
                <w:sz w:val="24"/>
                <w:szCs w:val="24"/>
              </w:rPr>
              <w:t xml:space="preserve">400 ~ 600ml/min </w:t>
            </w:r>
          </w:p>
          <w:p>
            <w:pPr>
              <w:adjustRightInd/>
              <w:spacing w:line="360" w:lineRule="auto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 xml:space="preserve">流 量 显 示： 0~1000mL进口数字流量计 </w:t>
            </w:r>
          </w:p>
          <w:p>
            <w:pPr>
              <w:adjustRightInd/>
              <w:spacing w:line="360" w:lineRule="auto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 xml:space="preserve">样 气 压 力： ≤1MPa </w:t>
            </w:r>
          </w:p>
          <w:p>
            <w:pPr>
              <w:adjustRightInd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 xml:space="preserve">环 境 湿 度： </w:t>
            </w:r>
            <w:r>
              <w:rPr>
                <w:rFonts w:ascii="Arial" w:hAnsi="Arial"/>
                <w:sz w:val="24"/>
                <w:szCs w:val="24"/>
              </w:rPr>
              <w:t>90%RH</w:t>
            </w:r>
          </w:p>
          <w:p>
            <w:pPr>
              <w:adjustRightInd/>
              <w:spacing w:line="360" w:lineRule="auto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测量数值影响：压力与流量无影响 </w:t>
            </w:r>
          </w:p>
          <w:p>
            <w:pPr>
              <w:adjustRightInd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电       源： 交直流两用（8小时</w:t>
            </w:r>
            <w:r>
              <w:rPr>
                <w:rFonts w:ascii="Arial" w:hAnsi="Arial"/>
                <w:sz w:val="24"/>
                <w:szCs w:val="24"/>
              </w:rPr>
              <w:t>以上的电池使用时间</w:t>
            </w:r>
            <w:r>
              <w:rPr>
                <w:rFonts w:hint="eastAsia" w:ascii="Arial" w:hAnsi="Arial"/>
                <w:sz w:val="24"/>
                <w:szCs w:val="24"/>
              </w:rPr>
              <w:t>）、</w:t>
            </w:r>
          </w:p>
          <w:p>
            <w:pPr>
              <w:adjustRightInd/>
              <w:spacing w:line="360" w:lineRule="auto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</w:t>
            </w:r>
            <w:r>
              <w:rPr>
                <w:rFonts w:hint="eastAsia" w:ascii="Arial" w:hAnsi="Arial"/>
                <w:sz w:val="24"/>
                <w:szCs w:val="24"/>
              </w:rPr>
              <w:t>交流</w:t>
            </w:r>
            <w:r>
              <w:rPr>
                <w:rFonts w:ascii="Arial" w:hAnsi="Arial"/>
                <w:sz w:val="24"/>
                <w:szCs w:val="24"/>
              </w:rPr>
              <w:t>时</w:t>
            </w:r>
            <w:r>
              <w:rPr>
                <w:rFonts w:hint="eastAsia" w:ascii="Arial" w:hAnsi="Arial"/>
                <w:sz w:val="24"/>
                <w:szCs w:val="24"/>
              </w:rPr>
              <w:t>：</w:t>
            </w:r>
            <w:r>
              <w:rPr>
                <w:rFonts w:ascii="Arial" w:hAnsi="Arial"/>
                <w:sz w:val="24"/>
                <w:szCs w:val="24"/>
              </w:rPr>
              <w:t>220V AC ±10%  50Hz</w:t>
            </w:r>
            <w:r>
              <w:rPr>
                <w:rFonts w:hint="eastAsia" w:ascii="Arial" w:hAnsi="Arial"/>
                <w:sz w:val="24"/>
                <w:szCs w:val="24"/>
              </w:rPr>
              <w:t xml:space="preserve"> </w:t>
            </w:r>
          </w:p>
          <w:p>
            <w:pPr>
              <w:adjustRightInd/>
              <w:spacing w:line="360" w:lineRule="auto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尺       寸： 395×295×155（mm）</w:t>
            </w:r>
          </w:p>
          <w:p>
            <w:pPr>
              <w:adjustRightInd/>
              <w:spacing w:line="360" w:lineRule="auto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重       量：2kg</w:t>
            </w:r>
          </w:p>
        </w:tc>
      </w:tr>
      <w:tr>
        <w:tblPrEx>
          <w:tblLayout w:type="fixed"/>
        </w:tblPrEx>
        <w:trPr>
          <w:trHeight w:val="622" w:hRule="atLeast"/>
        </w:trPr>
        <w:tc>
          <w:tcPr>
            <w:tcW w:w="9683" w:type="dxa"/>
            <w:gridSpan w:val="3"/>
            <w:noWrap w:val="0"/>
            <w:vAlign w:val="center"/>
          </w:tcPr>
          <w:p>
            <w:pPr>
              <w:adjustRightInd/>
              <w:rPr>
                <w:rFonts w:hint="eastAsia" w:ascii="Arial" w:hAnsi="Arial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adjustRightInd/>
              <w:rPr>
                <w:rFonts w:hint="eastAsia" w:ascii="Arial" w:hAnsi="Arial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/>
                <w:b/>
                <w:bCs/>
                <w:sz w:val="24"/>
                <w:szCs w:val="24"/>
              </w:rPr>
              <w:t>仪表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组成</w:t>
            </w:r>
          </w:p>
        </w:tc>
      </w:tr>
      <w:tr>
        <w:tblPrEx>
          <w:tblLayout w:type="fixed"/>
        </w:tblPrEx>
        <w:trPr>
          <w:trHeight w:val="2873" w:hRule="atLeast"/>
        </w:trPr>
        <w:tc>
          <w:tcPr>
            <w:tcW w:w="9683" w:type="dxa"/>
            <w:gridSpan w:val="3"/>
            <w:noWrap w:val="0"/>
            <w:vAlign w:val="center"/>
          </w:tcPr>
          <w:tbl>
            <w:tblPr>
              <w:tblStyle w:val="2"/>
              <w:tblpPr w:leftFromText="180" w:rightFromText="180" w:vertAnchor="text" w:horzAnchor="page" w:tblpX="270" w:tblpY="459"/>
              <w:tblOverlap w:val="never"/>
              <w:tblW w:w="84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7"/>
              <w:gridCol w:w="4893"/>
              <w:gridCol w:w="2820"/>
            </w:tblGrid>
            <w:tr>
              <w:tblPrEx>
                <w:tblLayout w:type="fixed"/>
              </w:tblPrEx>
              <w:trPr>
                <w:trHeight w:val="299" w:hRule="atLeast"/>
              </w:trPr>
              <w:tc>
                <w:tcPr>
                  <w:tcW w:w="747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序号</w:t>
                  </w:r>
                </w:p>
              </w:tc>
              <w:tc>
                <w:tcPr>
                  <w:tcW w:w="4893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名称</w:t>
                  </w:r>
                </w:p>
              </w:tc>
              <w:tc>
                <w:tcPr>
                  <w:tcW w:w="2820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数量</w:t>
                  </w:r>
                </w:p>
              </w:tc>
            </w:tr>
            <w:tr>
              <w:tblPrEx>
                <w:tblLayout w:type="fixed"/>
              </w:tblPrEx>
              <w:trPr>
                <w:trHeight w:val="299" w:hRule="atLeast"/>
              </w:trPr>
              <w:tc>
                <w:tcPr>
                  <w:tcW w:w="747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4893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主机</w:t>
                  </w:r>
                </w:p>
              </w:tc>
              <w:tc>
                <w:tcPr>
                  <w:tcW w:w="2820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1套</w:t>
                  </w:r>
                </w:p>
              </w:tc>
            </w:tr>
            <w:tr>
              <w:tblPrEx>
                <w:tblLayout w:type="fixed"/>
              </w:tblPrEx>
              <w:trPr>
                <w:trHeight w:val="299" w:hRule="atLeast"/>
              </w:trPr>
              <w:tc>
                <w:tcPr>
                  <w:tcW w:w="747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4893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聚四氟乙烯管路（含流量调节阀与快速接头）</w:t>
                  </w:r>
                </w:p>
              </w:tc>
              <w:tc>
                <w:tcPr>
                  <w:tcW w:w="2820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1套</w:t>
                  </w:r>
                </w:p>
              </w:tc>
            </w:tr>
            <w:tr>
              <w:tblPrEx>
                <w:tblLayout w:type="fixed"/>
              </w:tblPrEx>
              <w:trPr>
                <w:trHeight w:val="299" w:hRule="atLeast"/>
              </w:trPr>
              <w:tc>
                <w:tcPr>
                  <w:tcW w:w="747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4893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尾气管</w:t>
                  </w:r>
                </w:p>
              </w:tc>
              <w:tc>
                <w:tcPr>
                  <w:tcW w:w="2820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1套</w:t>
                  </w:r>
                </w:p>
              </w:tc>
            </w:tr>
            <w:tr>
              <w:tblPrEx>
                <w:tblLayout w:type="fixed"/>
              </w:tblPrEx>
              <w:trPr>
                <w:trHeight w:val="299" w:hRule="atLeast"/>
              </w:trPr>
              <w:tc>
                <w:tcPr>
                  <w:tcW w:w="747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4893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备用件</w:t>
                  </w:r>
                </w:p>
              </w:tc>
              <w:tc>
                <w:tcPr>
                  <w:tcW w:w="2820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1套</w:t>
                  </w:r>
                </w:p>
              </w:tc>
            </w:tr>
            <w:tr>
              <w:tblPrEx>
                <w:tblLayout w:type="fixed"/>
              </w:tblPrEx>
              <w:trPr>
                <w:trHeight w:val="299" w:hRule="atLeast"/>
              </w:trPr>
              <w:tc>
                <w:tcPr>
                  <w:tcW w:w="747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4893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说明书，合格证，保修卡</w:t>
                  </w:r>
                </w:p>
              </w:tc>
              <w:tc>
                <w:tcPr>
                  <w:tcW w:w="2820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1套</w:t>
                  </w:r>
                </w:p>
              </w:tc>
            </w:tr>
            <w:tr>
              <w:tblPrEx>
                <w:tblLayout w:type="fixed"/>
              </w:tblPrEx>
              <w:trPr>
                <w:trHeight w:val="308" w:hRule="atLeast"/>
              </w:trPr>
              <w:tc>
                <w:tcPr>
                  <w:tcW w:w="747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4893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充电器</w:t>
                  </w:r>
                </w:p>
              </w:tc>
              <w:tc>
                <w:tcPr>
                  <w:tcW w:w="2820" w:type="dxa"/>
                  <w:shd w:val="clear" w:color="auto" w:fill="auto"/>
                  <w:noWrap w:val="0"/>
                  <w:vAlign w:val="top"/>
                </w:tcPr>
                <w:p>
                  <w:pPr>
                    <w:adjustRightInd/>
                    <w:jc w:val="both"/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color w:val="000000"/>
                      <w:sz w:val="24"/>
                      <w:szCs w:val="24"/>
                      <w:lang w:val="en-US" w:eastAsia="zh-CN" w:bidi="ar-SA"/>
                    </w:rPr>
                    <w:t>1套</w:t>
                  </w:r>
                </w:p>
              </w:tc>
            </w:tr>
          </w:tbl>
          <w:p>
            <w:pPr>
              <w:widowControl/>
              <w:adjustRightInd/>
              <w:rPr>
                <w:rFonts w:hint="eastAsia" w:ascii="Arial" w:hAnsi="Arial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68" w:hRule="atLeast"/>
        </w:trPr>
        <w:tc>
          <w:tcPr>
            <w:tcW w:w="9683" w:type="dxa"/>
            <w:gridSpan w:val="3"/>
            <w:noWrap w:val="0"/>
            <w:vAlign w:val="center"/>
          </w:tcPr>
          <w:p>
            <w:pPr>
              <w:widowControl/>
              <w:adjustRightInd/>
              <w:rPr>
                <w:rFonts w:hint="eastAsia" w:ascii="Arial" w:hAnsi="Arial"/>
                <w:b/>
                <w:bCs/>
                <w:sz w:val="24"/>
                <w:szCs w:val="24"/>
              </w:rPr>
            </w:pPr>
            <w:bookmarkStart w:id="0" w:name="_Toc246261064"/>
            <w:bookmarkStart w:id="1" w:name="_Toc178415898"/>
          </w:p>
          <w:p>
            <w:pPr>
              <w:widowControl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/>
                <w:b/>
                <w:bCs/>
                <w:sz w:val="24"/>
                <w:szCs w:val="24"/>
              </w:rPr>
              <w:t>五、技术服务</w:t>
            </w:r>
            <w:bookmarkEnd w:id="0"/>
            <w:bookmarkEnd w:id="1"/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9683" w:type="dxa"/>
            <w:gridSpan w:val="3"/>
            <w:noWrap w:val="0"/>
            <w:vAlign w:val="center"/>
          </w:tcPr>
          <w:p>
            <w:pPr>
              <w:adjustRightInd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1．设备的免费质保期不低于1年；</w:t>
            </w:r>
            <w:r>
              <w:rPr>
                <w:rFonts w:ascii="Arial" w:hAnsi="Arial"/>
                <w:sz w:val="24"/>
                <w:szCs w:val="24"/>
              </w:rPr>
              <w:br w:type="textWrapping"/>
            </w:r>
            <w:r>
              <w:rPr>
                <w:rFonts w:hint="eastAsia" w:ascii="Arial" w:hAnsi="Arial"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．设备提供终身维护；</w:t>
            </w:r>
            <w:r>
              <w:rPr>
                <w:rFonts w:ascii="Arial" w:hAnsi="Arial"/>
                <w:sz w:val="24"/>
                <w:szCs w:val="24"/>
              </w:rPr>
              <w:br w:type="textWrapping"/>
            </w:r>
            <w:r>
              <w:rPr>
                <w:rFonts w:hint="eastAsia" w:ascii="Arial" w:hAnsi="Arial"/>
                <w:sz w:val="24"/>
                <w:szCs w:val="24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>．系统软件终身免费升级；</w:t>
            </w:r>
            <w:r>
              <w:rPr>
                <w:rFonts w:ascii="Arial" w:hAnsi="Arial"/>
                <w:sz w:val="24"/>
                <w:szCs w:val="24"/>
              </w:rPr>
              <w:br w:type="textWrapping"/>
            </w:r>
            <w:r>
              <w:rPr>
                <w:rFonts w:hint="eastAsia" w:ascii="Arial" w:hAnsi="Arial"/>
                <w:sz w:val="24"/>
                <w:szCs w:val="24"/>
              </w:rPr>
              <w:t>4</w:t>
            </w:r>
            <w:r>
              <w:rPr>
                <w:rFonts w:ascii="Arial" w:hAnsi="Arial"/>
                <w:sz w:val="24"/>
                <w:szCs w:val="24"/>
              </w:rPr>
              <w:t>．卖方对售后服务的需求必须在24小时答复，在48小时内提供技术服务；</w:t>
            </w:r>
          </w:p>
          <w:p>
            <w:pPr>
              <w:adjustRightInd/>
              <w:spacing w:line="360" w:lineRule="auto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5</w:t>
            </w:r>
            <w:r>
              <w:rPr>
                <w:rFonts w:ascii="Arial" w:hAnsi="Arial"/>
                <w:sz w:val="24"/>
                <w:szCs w:val="24"/>
              </w:rPr>
              <w:t>．卖方长期为买方提供备件采购和供应服务。</w:t>
            </w: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9683" w:type="dxa"/>
            <w:gridSpan w:val="3"/>
            <w:noWrap w:val="0"/>
            <w:vAlign w:val="center"/>
          </w:tcPr>
          <w:p>
            <w:pPr>
              <w:adjustRightInd/>
              <w:spacing w:line="360" w:lineRule="auto"/>
              <w:jc w:val="both"/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adjustRightInd/>
              <w:spacing w:line="360" w:lineRule="auto"/>
              <w:jc w:val="both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b/>
                <w:bCs/>
                <w:sz w:val="24"/>
                <w:szCs w:val="24"/>
                <w:lang w:val="en-US" w:eastAsia="zh-CN"/>
              </w:rPr>
              <w:t>六</w:t>
            </w:r>
            <w:r>
              <w:rPr>
                <w:rFonts w:hint="default" w:ascii="Arial" w:hAnsi="Arial"/>
                <w:b/>
                <w:bCs/>
                <w:sz w:val="24"/>
                <w:szCs w:val="24"/>
                <w:lang w:val="en-US" w:eastAsia="zh-CN"/>
              </w:rPr>
              <w:t>、引用标准</w:t>
            </w: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9683" w:type="dxa"/>
            <w:gridSpan w:val="3"/>
            <w:noWrap w:val="0"/>
            <w:vAlign w:val="center"/>
          </w:tcPr>
          <w:p>
            <w:pPr>
              <w:adjustRightInd/>
              <w:spacing w:line="360" w:lineRule="auto"/>
              <w:ind w:firstLine="240" w:firstLineChars="100"/>
              <w:jc w:val="both"/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</w:pPr>
            <w:bookmarkStart w:id="2" w:name="_GoBack"/>
            <w:bookmarkEnd w:id="2"/>
            <w:r>
              <w:rPr>
                <w:rFonts w:hint="default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>、DL/T 639-1997 六氟化硫电气设备运行、试验及检修人员安全防护细则</w:t>
            </w:r>
          </w:p>
          <w:p>
            <w:pPr>
              <w:adjustRightInd/>
              <w:spacing w:line="360" w:lineRule="auto"/>
              <w:jc w:val="both"/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default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>、国电公司72号附件3[1999] 高压开关设备质量监督管理办法</w:t>
            </w:r>
          </w:p>
          <w:p>
            <w:pPr>
              <w:adjustRightInd/>
              <w:spacing w:line="360" w:lineRule="auto"/>
              <w:jc w:val="both"/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default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 xml:space="preserve">、GB/T 17626 电磁兼容试验和测量技术 </w:t>
            </w:r>
          </w:p>
          <w:p>
            <w:pPr>
              <w:adjustRightInd/>
              <w:spacing w:line="360" w:lineRule="auto"/>
              <w:jc w:val="both"/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default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>、GB/T 2423电工电子产品环境试验</w:t>
            </w:r>
          </w:p>
          <w:p>
            <w:pPr>
              <w:adjustRightInd/>
              <w:spacing w:line="360" w:lineRule="auto"/>
              <w:jc w:val="both"/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default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>、DL/T596电力设备预防性试验规程</w:t>
            </w:r>
          </w:p>
          <w:p>
            <w:pPr>
              <w:adjustRightInd/>
              <w:spacing w:line="360" w:lineRule="auto"/>
              <w:jc w:val="both"/>
              <w:rPr>
                <w:rFonts w:hint="default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default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>、GB/T 6388 运输包装收发货标志</w:t>
            </w:r>
          </w:p>
          <w:p>
            <w:pPr>
              <w:adjustRightInd/>
              <w:spacing w:line="360" w:lineRule="auto"/>
              <w:jc w:val="both"/>
              <w:rPr>
                <w:rFonts w:hint="default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 xml:space="preserve">  7、GB/T 18867-2014 电子工业用气体 六氟化硫</w:t>
            </w:r>
          </w:p>
          <w:p>
            <w:pPr>
              <w:adjustRightInd/>
              <w:spacing w:line="360" w:lineRule="auto"/>
              <w:ind w:firstLine="240" w:firstLineChars="100"/>
              <w:jc w:val="both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Arial" w:hAnsi="Arial" w:eastAsia="宋体" w:cs="Arial"/>
                <w:bCs/>
                <w:color w:val="000000"/>
                <w:sz w:val="24"/>
                <w:szCs w:val="24"/>
                <w:lang w:val="en-US" w:eastAsia="zh-CN" w:bidi="ar-SA"/>
              </w:rPr>
              <w:t>、GB/T8905 六氟化硫电器设备中气体管理和检测导则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3900"/>
    <w:multiLevelType w:val="multilevel"/>
    <w:tmpl w:val="3E8C3900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D709EE"/>
    <w:multiLevelType w:val="singleLevel"/>
    <w:tmpl w:val="5AD709E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7FA9"/>
    <w:rsid w:val="090D241E"/>
    <w:rsid w:val="0FBE75B9"/>
    <w:rsid w:val="10A03B71"/>
    <w:rsid w:val="15512550"/>
    <w:rsid w:val="191279AF"/>
    <w:rsid w:val="1E9D27E3"/>
    <w:rsid w:val="20233750"/>
    <w:rsid w:val="2558439D"/>
    <w:rsid w:val="260C26E4"/>
    <w:rsid w:val="282C5324"/>
    <w:rsid w:val="41A568CA"/>
    <w:rsid w:val="42D70E95"/>
    <w:rsid w:val="45542EC8"/>
    <w:rsid w:val="4CC77497"/>
    <w:rsid w:val="59A94848"/>
    <w:rsid w:val="5D5F1C16"/>
    <w:rsid w:val="69301774"/>
    <w:rsid w:val="706452E5"/>
    <w:rsid w:val="71F91BD1"/>
    <w:rsid w:val="73AF2AE3"/>
    <w:rsid w:val="79BE6A40"/>
    <w:rsid w:val="7EE8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中元正文"/>
    <w:basedOn w:val="1"/>
    <w:uiPriority w:val="0"/>
    <w:pPr>
      <w:adjustRightInd/>
      <w:spacing w:line="360" w:lineRule="auto"/>
      <w:ind w:firstLine="200" w:firstLineChars="200"/>
      <w:jc w:val="both"/>
      <w:textAlignment w:val="auto"/>
    </w:pPr>
    <w:rPr>
      <w:rFonts w:ascii="Arial" w:hAnsi="Arial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gdxg</dc:creator>
  <cp:lastModifiedBy>caigou01</cp:lastModifiedBy>
  <dcterms:modified xsi:type="dcterms:W3CDTF">2019-09-03T06:19:43Z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